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bookmarkStart w:id="0" w:name="OLE_LINK2"/>
      <w:bookmarkStart w:id="1" w:name="OLE_LINK1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浙江省保安协会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会员单位</w:t>
      </w:r>
      <w:r>
        <w:rPr>
          <w:rFonts w:hint="eastAsia" w:ascii="方正小标宋简体" w:hAnsi="宋体" w:eastAsia="方正小标宋简体"/>
          <w:sz w:val="44"/>
          <w:szCs w:val="44"/>
        </w:rPr>
        <w:t>考核方案</w:t>
      </w:r>
      <w:bookmarkStart w:id="2" w:name="OLE_LINK3"/>
    </w:p>
    <w:p>
      <w:pPr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eastAsia="黑体"/>
          <w:sz w:val="32"/>
          <w:szCs w:val="32"/>
        </w:rPr>
        <w:t>考核对象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浙江省保安协会会员单位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二、考核方式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省保安协会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依托浙江省保安服务监管信息系统，</w:t>
      </w:r>
      <w:r>
        <w:rPr>
          <w:rFonts w:hint="eastAsia" w:ascii="仿宋_GB2312" w:eastAsia="仿宋_GB2312"/>
          <w:sz w:val="32"/>
          <w:szCs w:val="32"/>
        </w:rPr>
        <w:t>对推荐对象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保安服务公司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采取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线上核查和线下抽查相结合的</w:t>
      </w:r>
      <w:r>
        <w:rPr>
          <w:rFonts w:hint="eastAsia" w:ascii="仿宋_GB2312" w:eastAsia="仿宋_GB2312"/>
          <w:sz w:val="32"/>
          <w:szCs w:val="32"/>
        </w:rPr>
        <w:t>方式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按考核标准进行量化考核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其他类型的企业由省保安协会提名并征求属地市协会意见。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三、考核结果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择优评出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家保安服务公司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和2家其他类型的企业</w:t>
      </w:r>
      <w:r>
        <w:rPr>
          <w:rFonts w:hint="eastAsia" w:ascii="仿宋_GB2312" w:eastAsia="仿宋_GB2312"/>
          <w:sz w:val="32"/>
          <w:szCs w:val="32"/>
        </w:rPr>
        <w:t>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优秀会员单位，20家</w:t>
      </w:r>
      <w:r>
        <w:rPr>
          <w:rFonts w:hint="eastAsia" w:ascii="仿宋_GB2312" w:eastAsia="仿宋_GB2312"/>
          <w:sz w:val="32"/>
          <w:szCs w:val="32"/>
        </w:rPr>
        <w:t>保安服务公司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优秀会员单位（新锐）；</w:t>
      </w:r>
      <w:r>
        <w:rPr>
          <w:rFonts w:hint="eastAsia" w:ascii="仿宋_GB2312" w:eastAsia="仿宋_GB2312"/>
          <w:sz w:val="32"/>
          <w:szCs w:val="32"/>
        </w:rPr>
        <w:t>曾获得全国优秀（十佳）、先进保安服务公司荣誉的公司，经考核合格的，直接复核为202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优秀会员单位，并</w:t>
      </w:r>
      <w:r>
        <w:rPr>
          <w:rFonts w:hint="eastAsia" w:ascii="仿宋_GB2312" w:eastAsia="仿宋_GB2312"/>
          <w:sz w:val="32"/>
          <w:szCs w:val="32"/>
        </w:rPr>
        <w:t>对考核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结果予以</w:t>
      </w:r>
      <w:r>
        <w:rPr>
          <w:rFonts w:hint="eastAsia" w:ascii="仿宋_GB2312" w:eastAsia="仿宋_GB2312"/>
          <w:sz w:val="32"/>
          <w:szCs w:val="32"/>
        </w:rPr>
        <w:t>通报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此外，协会每年将从中遴选出一定比例的获评单位，持续进行关注和培育，为五年一届的“全国先进保安服务公司优秀保安员评选表彰活动”做好铺垫，逐步建立争先创优的长效机制。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四、推荐名额分配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保安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服务</w:t>
      </w:r>
      <w:r>
        <w:rPr>
          <w:rFonts w:hint="eastAsia" w:ascii="楷体_GB2312" w:hAnsi="楷体_GB2312" w:eastAsia="楷体_GB2312" w:cs="楷体_GB2312"/>
          <w:sz w:val="32"/>
          <w:szCs w:val="32"/>
        </w:rPr>
        <w:t>公司名额：</w:t>
      </w:r>
      <w:r>
        <w:rPr>
          <w:rFonts w:hint="eastAsia" w:ascii="仿宋_GB2312" w:eastAsia="仿宋_GB2312"/>
          <w:sz w:val="32"/>
          <w:szCs w:val="32"/>
        </w:rPr>
        <w:t>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名，各市保安协会推荐名额按各市省保安协会会员比例数分配，可按多于分配名额1-2名推荐。最终优胜单位名额可根据考核实际情况变动。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五、考核标准数据时限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考核涉及数据时间周期为20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六、优胜单位必备条件</w:t>
      </w:r>
    </w:p>
    <w:p>
      <w:pPr>
        <w:ind w:firstLine="315" w:firstLineChars="98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（一）保安服务公司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1.在浙江省注册的保安服务公司；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2.依法设立，连续开展保安服务活动满一年以上（20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月1日前取得工商营业执照）；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保安服务企业信用评价结果B级及以上（新锐企业C级及以上）等级;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积极履行会员义务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315" w:firstLineChars="98"/>
        <w:rPr>
          <w:rFonts w:hint="default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其他类型企业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1.在浙江省注册的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2.依法设立，连续开展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行业有关</w:t>
      </w:r>
      <w:r>
        <w:rPr>
          <w:rFonts w:hint="eastAsia" w:ascii="仿宋_GB2312" w:eastAsia="仿宋_GB2312"/>
          <w:sz w:val="32"/>
          <w:szCs w:val="32"/>
        </w:rPr>
        <w:t>活动满一年以上（20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月1日前取得工商营业执照）；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积极履行</w:t>
      </w:r>
      <w:r>
        <w:rPr>
          <w:rFonts w:hint="eastAsia" w:ascii="仿宋_GB2312" w:eastAsia="仿宋_GB2312"/>
          <w:sz w:val="32"/>
          <w:szCs w:val="32"/>
        </w:rPr>
        <w:t>会员义务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七、考核标准</w:t>
      </w:r>
    </w:p>
    <w:p>
      <w:pPr>
        <w:ind w:firstLine="643" w:firstLineChars="200"/>
        <w:rPr>
          <w:rFonts w:hint="eastAsia" w:ascii="楷体_GB2312" w:eastAsia="楷体_GB2312"/>
          <w:b/>
          <w:bCs w:val="0"/>
          <w:sz w:val="32"/>
          <w:szCs w:val="32"/>
        </w:rPr>
      </w:pPr>
      <w:r>
        <w:rPr>
          <w:rFonts w:hint="eastAsia" w:ascii="楷体_GB2312" w:eastAsia="楷体_GB2312"/>
          <w:b/>
          <w:bCs w:val="0"/>
          <w:sz w:val="32"/>
          <w:szCs w:val="32"/>
        </w:rPr>
        <w:t>（一）保安服务公司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企业运营管理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健康</w:t>
      </w:r>
    </w:p>
    <w:p>
      <w:pPr>
        <w:spacing w:line="360" w:lineRule="auto"/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（1）优秀会员单位：</w:t>
      </w:r>
      <w:r>
        <w:rPr>
          <w:rFonts w:hint="eastAsia" w:ascii="仿宋_GB2312" w:eastAsia="仿宋_GB2312"/>
          <w:sz w:val="32"/>
          <w:szCs w:val="32"/>
        </w:rPr>
        <w:t>保安员队伍规模较大，相对稳定，人力防范保安服务公司年末总数不少于300人（武装守护押运公司专用押运车辆年末总数分别不少于80辆、安全技术防范公司联网用户年末总数不少于2000户）；经济效益较好，本年度营业额不低于人民币800万元（武装守护押运公司不低于8000万元）或利润较上一年度增长5%以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27" w:firstLineChars="196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（2）优秀会员单位（新锐）：保安员队伍规模适中，相对稳定，</w:t>
      </w:r>
      <w:r>
        <w:rPr>
          <w:rFonts w:hint="eastAsia" w:ascii="仿宋_GB2312" w:eastAsia="仿宋_GB2312"/>
          <w:sz w:val="32"/>
          <w:szCs w:val="32"/>
        </w:rPr>
        <w:t>人力防范保安服务公司年末总数不少于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人（武装守护押运公司专用押运车辆年末总数不少于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辆、安全技术防范公司联网用户年末总数不少于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/>
          <w:sz w:val="32"/>
          <w:szCs w:val="32"/>
        </w:rPr>
        <w:t>户）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经济效益较好，本年度营业额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不低于</w:t>
      </w:r>
      <w:r>
        <w:rPr>
          <w:rFonts w:hint="eastAsia" w:ascii="仿宋_GB2312" w:eastAsia="仿宋_GB2312"/>
          <w:sz w:val="32"/>
          <w:szCs w:val="32"/>
        </w:rPr>
        <w:t>人民币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00万元（武装守护押运公司不低于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000万元）或利润较上一年度增长5%以上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（3）保安服务公司</w:t>
      </w:r>
      <w:r>
        <w:rPr>
          <w:rFonts w:hint="eastAsia" w:ascii="仿宋_GB2312" w:eastAsia="仿宋_GB2312"/>
          <w:sz w:val="32"/>
          <w:szCs w:val="32"/>
        </w:rPr>
        <w:t>年流失率低于20%，持“保安员证”率100%；保安员具有良好的职业道德，执勤规范，无发生保安员侵犯群众利益的违法犯罪案件，无因保安员工作疏忽给客户造成严重经济损失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27" w:firstLineChars="196"/>
        <w:jc w:val="left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积极拓展保安服务内容，创新经营模式；合法经营，自觉维护行业规范，公平竞争，收费规范，无恶意竞争行为；重合同、守信用，无不良债务。</w:t>
      </w:r>
    </w:p>
    <w:p>
      <w:pPr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积极参与警保联动</w:t>
      </w:r>
      <w:r>
        <w:rPr>
          <w:rFonts w:hint="eastAsia" w:ascii="楷体_GB2312" w:eastAsia="楷体_GB2312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企业社会知晓度较高，在创建平安浙江中发挥优势作用，协助维护社会治安作用发挥突出，受到过政府部门表彰奖励；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eastAsia="仿宋_GB2312"/>
          <w:sz w:val="32"/>
          <w:szCs w:val="32"/>
        </w:rPr>
        <w:t>参与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抗击新冠疫情的相关工作被相关政府职能部门表彰的</w:t>
      </w:r>
      <w:r>
        <w:rPr>
          <w:rFonts w:hint="eastAsia" w:ascii="仿宋_GB2312" w:eastAsia="仿宋_GB2312"/>
          <w:sz w:val="32"/>
          <w:szCs w:val="32"/>
        </w:rPr>
        <w:t>；发挥警保联动作用成效明显，公安机关确认的参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 xml:space="preserve">保安员联勤联防工作保安员数量不少于公司保安员总数的30% 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</w:rPr>
        <w:t>；认真履行安全防范职责，圆满完成客户单位的服务任务，客户满意度较高；热心公益慈善事业，全年不少于2次组织或参与各类公益慈善活动。</w:t>
      </w:r>
    </w:p>
    <w:p>
      <w:pPr>
        <w:ind w:firstLine="627" w:firstLineChars="19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.企业制度</w:t>
      </w:r>
      <w:r>
        <w:rPr>
          <w:rFonts w:hint="eastAsia" w:ascii="仿宋_GB2312" w:eastAsia="仿宋_GB2312"/>
          <w:sz w:val="32"/>
          <w:szCs w:val="32"/>
        </w:rPr>
        <w:t>管理规范。基本建立现代企业制度，具有规范的法人治理结构，各项管理制度健全落实，获得质量管理体系认证证书；公司或管理层个人本年度均无刑事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、民事</w:t>
      </w:r>
      <w:r>
        <w:rPr>
          <w:rFonts w:hint="eastAsia" w:ascii="仿宋_GB2312" w:eastAsia="仿宋_GB2312"/>
          <w:sz w:val="32"/>
          <w:szCs w:val="32"/>
        </w:rPr>
        <w:t>、行政处罚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限制开展生产经营活动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以上处罚的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或通报批评；注重员工教育培训，每季度不少于1次组织保安员业务学习、业绩考核和技能培训；经营管理规范，台账清楚，服务管理、岗位责任、风险评估和紧急情况应急处置等制度健全落实；党、团和工会组织健全、制度规范、活动经常，党（团）员先锋模范作用发挥明显；公司设有服务质量与安全管理部门、客户投诉和监督渠道，并建有台帐和处理机制；重视企业文化建设，建有宣传载体，企业文化生活丰富多彩，全年不少于2次群众性活动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员</w:t>
      </w:r>
      <w:r>
        <w:rPr>
          <w:rFonts w:hint="eastAsia" w:ascii="仿宋_GB2312" w:eastAsia="仿宋_GB2312"/>
          <w:sz w:val="32"/>
          <w:szCs w:val="32"/>
        </w:rPr>
        <w:t>工权益保障有力。100%与员工依法签订劳动合同（聘用退休人员签定书面协议），建有员工薪酬标准和增长机制，未发生因工资福利问题引发的劳动仲裁（判决）败诉案件，工资按时足额发放，实发工资（不含加班费）高于工作所在地职工最低工资标准；社会保险参保率100%，建有高风险岗位伤残抚恤、意外伤害等保障制度；按规定落实员工休息制度，福利待遇制度完善，建有保安员表彰奖励和慰问制度，未发生因工资福利等权益保障问题引发上访等群体性事件。</w:t>
      </w:r>
    </w:p>
    <w:p>
      <w:pPr>
        <w:widowControl/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会员义务履行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良</w:t>
      </w:r>
      <w:r>
        <w:rPr>
          <w:rFonts w:hint="eastAsia" w:ascii="仿宋_GB2312" w:eastAsia="仿宋_GB2312"/>
          <w:sz w:val="32"/>
          <w:szCs w:val="32"/>
        </w:rPr>
        <w:t>好。自觉遵守协会章程和行业自律规范，积极参加协会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组织开展的保安主题宣传日、政法系统书画摄影作品评展、第二届保安行业高峰论坛论文投稿等相关</w:t>
      </w:r>
      <w:r>
        <w:rPr>
          <w:rFonts w:hint="eastAsia" w:ascii="仿宋_GB2312" w:eastAsia="仿宋_GB2312"/>
          <w:sz w:val="32"/>
          <w:szCs w:val="32"/>
        </w:rPr>
        <w:t>活动，未发生违反法律法规和行业规定的行为，积极为协会发展出谋划策，按时交纳会费，支持协会建设，在省保安协会网站、微信公众号稿件录用总数不少于10篇。</w:t>
      </w:r>
    </w:p>
    <w:p>
      <w:pPr>
        <w:ind w:firstLine="643" w:firstLineChars="200"/>
        <w:rPr>
          <w:rFonts w:hint="default" w:ascii="楷体_GB2312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Times New Roman" w:eastAsia="楷体_GB2312" w:cs="Times New Roman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Times New Roman" w:eastAsia="楷体_GB2312" w:cs="Times New Roman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Times New Roman" w:eastAsia="楷体_GB2312" w:cs="Times New Roman"/>
          <w:b/>
          <w:bCs w:val="0"/>
          <w:sz w:val="32"/>
          <w:szCs w:val="32"/>
          <w:lang w:val="en-US" w:eastAsia="zh-CN"/>
        </w:rPr>
        <w:t>其他类型企业</w:t>
      </w:r>
    </w:p>
    <w:p>
      <w:pPr>
        <w:widowControl/>
        <w:ind w:firstLine="627" w:firstLineChars="196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参考保安服务公司相关考评项，但不设具体量化指标，根据省保安协会日常走访了解，并听取属地市协会有关意见作为考评依据。</w:t>
      </w:r>
    </w:p>
    <w:p>
      <w:pPr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八、考核程序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第一阶段：征求意见。</w:t>
      </w:r>
      <w:r>
        <w:rPr>
          <w:rFonts w:hint="eastAsia" w:ascii="仿宋_GB2312" w:eastAsia="仿宋_GB2312"/>
          <w:sz w:val="32"/>
          <w:szCs w:val="32"/>
        </w:rPr>
        <w:t>协会以通知形式征求全体会员对考核条件和标准的意见建议，对收集的意见建议讨论研究后，确定考核条件和标准，1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月上旬下发开展考核活动通知。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第二阶段：申报。</w:t>
      </w:r>
      <w:r>
        <w:rPr>
          <w:rFonts w:hint="eastAsia" w:ascii="仿宋_GB2312" w:eastAsia="仿宋_GB2312"/>
          <w:sz w:val="32"/>
          <w:szCs w:val="32"/>
        </w:rPr>
        <w:t>各保安服务公司对照条件和标准，于1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15日前</w:t>
      </w:r>
      <w:r>
        <w:rPr>
          <w:rFonts w:hint="eastAsia" w:ascii="仿宋_GB2312" w:eastAsia="仿宋_GB2312"/>
          <w:sz w:val="32"/>
          <w:szCs w:val="32"/>
        </w:rPr>
        <w:t>向所在市保安协会报名参加考核。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Cs/>
          <w:sz w:val="32"/>
          <w:szCs w:val="32"/>
        </w:rPr>
        <w:t>第三阶段：</w:t>
      </w: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推荐</w:t>
      </w:r>
      <w:r>
        <w:rPr>
          <w:rFonts w:hint="eastAsia" w:ascii="楷体_GB2312" w:eastAsia="楷体_GB2312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各市保安协会对照条件和标准，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原则上</w:t>
      </w:r>
      <w:r>
        <w:rPr>
          <w:rFonts w:hint="eastAsia" w:ascii="仿宋_GB2312" w:eastAsia="仿宋_GB2312"/>
          <w:sz w:val="32"/>
          <w:szCs w:val="32"/>
        </w:rPr>
        <w:t>按推荐名额择优确定推荐对象，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于1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前报省保安协会。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第四阶段：考核。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上旬</w:t>
      </w:r>
      <w:r>
        <w:rPr>
          <w:rFonts w:hint="eastAsia" w:ascii="仿宋_GB2312" w:eastAsia="仿宋_GB2312"/>
          <w:sz w:val="32"/>
          <w:szCs w:val="32"/>
        </w:rPr>
        <w:t>，省保安协会组织考核组对推荐对象进行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线上核查和</w:t>
      </w:r>
      <w:r>
        <w:rPr>
          <w:rFonts w:hint="eastAsia" w:ascii="仿宋_GB2312" w:eastAsia="仿宋_GB2312"/>
          <w:sz w:val="32"/>
          <w:szCs w:val="32"/>
        </w:rPr>
        <w:t>实地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抽查的</w:t>
      </w:r>
      <w:r>
        <w:rPr>
          <w:rFonts w:hint="eastAsia" w:ascii="仿宋_GB2312" w:eastAsia="仿宋_GB2312"/>
          <w:sz w:val="32"/>
          <w:szCs w:val="32"/>
        </w:rPr>
        <w:t>考核。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第五阶段：公示。</w:t>
      </w:r>
      <w:r>
        <w:rPr>
          <w:rFonts w:hint="eastAsia" w:ascii="仿宋_GB2312" w:eastAsia="仿宋_GB2312"/>
          <w:sz w:val="32"/>
          <w:szCs w:val="32"/>
        </w:rPr>
        <w:t>考核情况经省保安协会会长办公会会议研究后，确定考核优胜名单，在浙江保安网上公示。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第六阶段：通报。</w:t>
      </w:r>
      <w:r>
        <w:rPr>
          <w:rFonts w:hint="eastAsia" w:ascii="仿宋_GB2312" w:eastAsia="仿宋_GB2312"/>
          <w:sz w:val="32"/>
          <w:szCs w:val="32"/>
        </w:rPr>
        <w:t>协会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及时发文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在浙江保安网公布考核优胜结果。</w:t>
      </w:r>
      <w:bookmarkEnd w:id="2"/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考核一票否决项目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保安公司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必备条件不满足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保安服务企业信用评价结果为B级（新锐企业C级）以下的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违反《保安服务管理条例》、行业规范、自律公约或被政府部门处罚、协会通报以及被投诉属实等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营业额未达标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公司或管理层（部门负责人及以上）本年度有刑事、民事、行政处罚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限制开展生产经营活动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以上处罚的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签定劳动合同（协议）率低于100%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低于工作地最低工资标准或发生因工资福利上访事件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76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未交纳协会会费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注：其他类型企业无1、3、5、6、7、8项情况</w:t>
      </w:r>
    </w:p>
    <w:p>
      <w:pPr>
        <w:jc w:val="center"/>
        <w:rPr>
          <w:rFonts w:hint="eastAsia" w:ascii="Adobe 黑体 Std R" w:hAnsi="Adobe 黑体 Std R" w:eastAsia="Adobe 黑体 Std R"/>
          <w:sz w:val="44"/>
          <w:szCs w:val="44"/>
        </w:rPr>
      </w:pPr>
    </w:p>
    <w:p>
      <w:pPr>
        <w:jc w:val="center"/>
        <w:rPr>
          <w:rFonts w:hint="eastAsia" w:ascii="Adobe 黑体 Std R" w:hAnsi="Adobe 黑体 Std R" w:eastAsia="Adobe 黑体 Std R"/>
          <w:sz w:val="44"/>
          <w:szCs w:val="44"/>
        </w:rPr>
      </w:pPr>
    </w:p>
    <w:p>
      <w:pPr>
        <w:jc w:val="both"/>
        <w:rPr>
          <w:rFonts w:hint="eastAsia" w:ascii="Adobe 黑体 Std R" w:hAnsi="Adobe 黑体 Std R" w:eastAsia="Adobe 黑体 Std R"/>
          <w:sz w:val="44"/>
          <w:szCs w:val="44"/>
          <w:lang w:val="en-US" w:eastAsia="zh-CN"/>
        </w:rPr>
      </w:pPr>
      <w:r>
        <w:rPr>
          <w:rFonts w:hint="eastAsia" w:ascii="Adobe 黑体 Std R" w:hAnsi="Adobe 黑体 Std R" w:eastAsia="Adobe 黑体 Std R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  <w:lang w:val="en-US" w:eastAsia="zh-CN"/>
        </w:rPr>
        <w:t xml:space="preserve">       </w:t>
      </w:r>
      <w:r>
        <w:rPr>
          <w:rFonts w:hint="eastAsia" w:ascii="Adobe 黑体 Std R" w:hAnsi="Adobe 黑体 Std R" w:eastAsia="Adobe 黑体 Std R"/>
          <w:sz w:val="44"/>
          <w:szCs w:val="44"/>
        </w:rPr>
        <w:t>名额分配表</w:t>
      </w:r>
      <w:r>
        <w:rPr>
          <w:rFonts w:hint="eastAsia" w:ascii="Adobe 黑体 Std R" w:hAnsi="Adobe 黑体 Std R" w:eastAsia="Adobe 黑体 Std R"/>
          <w:sz w:val="44"/>
          <w:szCs w:val="4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单位：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家</w:t>
      </w:r>
    </w:p>
    <w:tbl>
      <w:tblPr>
        <w:tblStyle w:val="7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3915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优秀会员单位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优秀会员单位（新锐）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杭州市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宁波市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温州市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湖州市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嘉兴市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绍兴市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金华市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衢州市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舟山市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台州市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丽水市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3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15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7264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1、名额按各市省保安协会会员比例数确定；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2、各市协会可按多于分配名额1-2名推荐。最终优胜单位名额可根据考核实际情况变动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bookmarkEnd w:id="0"/>
      <w:bookmarkEnd w:id="1"/>
    </w:tbl>
    <w:p>
      <w:pPr>
        <w:wordWrap w:val="0"/>
        <w:ind w:right="0"/>
        <w:rPr>
          <w:rFonts w:hint="eastAsia" w:ascii="宋体" w:cs="宋体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both"/>
        <w:textAlignment w:val="auto"/>
        <w:rPr>
          <w:rFonts w:hint="eastAsia" w:ascii="宋体" w:cs="宋体"/>
          <w:sz w:val="32"/>
          <w:szCs w:val="32"/>
          <w:lang w:val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53E508-A559-4EB0-911D-C4252E5AB4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CBF3229-044B-46BB-9E61-3EEF68AD70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1075797-7309-4A40-9743-769D8F73C4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6539A64-1F6D-442C-853D-03B3135B86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C950533-BD63-41AD-8C3B-0A8A0CF10FC3}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  <w:embedRegular r:id="rId6" w:fontKey="{20DFD522-8E30-4C10-BC05-2BB7C7058D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B501D"/>
    <w:multiLevelType w:val="multilevel"/>
    <w:tmpl w:val="76AB501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pStyle w:val="20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ZDg0NDg1OWViMjk4MDdmYmYxNzhhODJhMTYzMzcifQ=="/>
  </w:docVars>
  <w:rsids>
    <w:rsidRoot w:val="00172A27"/>
    <w:rsid w:val="00005538"/>
    <w:rsid w:val="00015583"/>
    <w:rsid w:val="00034002"/>
    <w:rsid w:val="000342F2"/>
    <w:rsid w:val="0003792C"/>
    <w:rsid w:val="00061850"/>
    <w:rsid w:val="00064203"/>
    <w:rsid w:val="00067219"/>
    <w:rsid w:val="000711CF"/>
    <w:rsid w:val="00074E33"/>
    <w:rsid w:val="00076C6A"/>
    <w:rsid w:val="00094131"/>
    <w:rsid w:val="000B2E14"/>
    <w:rsid w:val="000C4587"/>
    <w:rsid w:val="000D3C5F"/>
    <w:rsid w:val="000E1CCC"/>
    <w:rsid w:val="000E56B0"/>
    <w:rsid w:val="000E5F93"/>
    <w:rsid w:val="000F0760"/>
    <w:rsid w:val="000F16FB"/>
    <w:rsid w:val="00104033"/>
    <w:rsid w:val="00105558"/>
    <w:rsid w:val="001333D9"/>
    <w:rsid w:val="001359F7"/>
    <w:rsid w:val="00144AE9"/>
    <w:rsid w:val="00161EDB"/>
    <w:rsid w:val="0017240E"/>
    <w:rsid w:val="00173E40"/>
    <w:rsid w:val="0017550C"/>
    <w:rsid w:val="001956C5"/>
    <w:rsid w:val="001B0BA5"/>
    <w:rsid w:val="001B6DB1"/>
    <w:rsid w:val="001D1F66"/>
    <w:rsid w:val="001F5384"/>
    <w:rsid w:val="001F556F"/>
    <w:rsid w:val="002054E2"/>
    <w:rsid w:val="002128D0"/>
    <w:rsid w:val="00216946"/>
    <w:rsid w:val="00224394"/>
    <w:rsid w:val="00227B99"/>
    <w:rsid w:val="0023165E"/>
    <w:rsid w:val="00236D81"/>
    <w:rsid w:val="00242379"/>
    <w:rsid w:val="002462AB"/>
    <w:rsid w:val="00255E2B"/>
    <w:rsid w:val="00261C28"/>
    <w:rsid w:val="00265B1B"/>
    <w:rsid w:val="00276D4C"/>
    <w:rsid w:val="00296271"/>
    <w:rsid w:val="002B465B"/>
    <w:rsid w:val="002C30CF"/>
    <w:rsid w:val="002C3E49"/>
    <w:rsid w:val="002E0CCC"/>
    <w:rsid w:val="002E2FB6"/>
    <w:rsid w:val="003406BB"/>
    <w:rsid w:val="003533A5"/>
    <w:rsid w:val="0036335D"/>
    <w:rsid w:val="0037358B"/>
    <w:rsid w:val="003761A2"/>
    <w:rsid w:val="00382731"/>
    <w:rsid w:val="00387C5B"/>
    <w:rsid w:val="003A4739"/>
    <w:rsid w:val="003A6CBA"/>
    <w:rsid w:val="003C200E"/>
    <w:rsid w:val="003D3D17"/>
    <w:rsid w:val="003D5E44"/>
    <w:rsid w:val="003E101A"/>
    <w:rsid w:val="003E101C"/>
    <w:rsid w:val="003E50E8"/>
    <w:rsid w:val="003F1FBC"/>
    <w:rsid w:val="003F224E"/>
    <w:rsid w:val="004108A7"/>
    <w:rsid w:val="00414AFD"/>
    <w:rsid w:val="00421E06"/>
    <w:rsid w:val="00425DD5"/>
    <w:rsid w:val="00444875"/>
    <w:rsid w:val="00472349"/>
    <w:rsid w:val="00474704"/>
    <w:rsid w:val="00477258"/>
    <w:rsid w:val="00487BCF"/>
    <w:rsid w:val="004A6F70"/>
    <w:rsid w:val="004B542A"/>
    <w:rsid w:val="004B6B16"/>
    <w:rsid w:val="004B6F45"/>
    <w:rsid w:val="004C2AF2"/>
    <w:rsid w:val="004C48FA"/>
    <w:rsid w:val="004D3550"/>
    <w:rsid w:val="004E20F1"/>
    <w:rsid w:val="004E7577"/>
    <w:rsid w:val="004F01F9"/>
    <w:rsid w:val="00517D4B"/>
    <w:rsid w:val="00522E3A"/>
    <w:rsid w:val="00541E22"/>
    <w:rsid w:val="00544304"/>
    <w:rsid w:val="00552DDE"/>
    <w:rsid w:val="00565DDA"/>
    <w:rsid w:val="00566558"/>
    <w:rsid w:val="00577F43"/>
    <w:rsid w:val="00591518"/>
    <w:rsid w:val="005915CF"/>
    <w:rsid w:val="005957FB"/>
    <w:rsid w:val="005B2C33"/>
    <w:rsid w:val="005C49A5"/>
    <w:rsid w:val="005C7ED7"/>
    <w:rsid w:val="005D31E0"/>
    <w:rsid w:val="005D3D9B"/>
    <w:rsid w:val="005E68FC"/>
    <w:rsid w:val="005E6DA6"/>
    <w:rsid w:val="005E7B0B"/>
    <w:rsid w:val="005F0257"/>
    <w:rsid w:val="005F0290"/>
    <w:rsid w:val="005F3D10"/>
    <w:rsid w:val="00615FB6"/>
    <w:rsid w:val="0062384E"/>
    <w:rsid w:val="00636BD0"/>
    <w:rsid w:val="00645A73"/>
    <w:rsid w:val="00656153"/>
    <w:rsid w:val="0066756E"/>
    <w:rsid w:val="006824AA"/>
    <w:rsid w:val="0068385C"/>
    <w:rsid w:val="006942B4"/>
    <w:rsid w:val="006A5992"/>
    <w:rsid w:val="006A5E0E"/>
    <w:rsid w:val="006B69AE"/>
    <w:rsid w:val="006C1489"/>
    <w:rsid w:val="006C4A0E"/>
    <w:rsid w:val="006E3B21"/>
    <w:rsid w:val="006E7F80"/>
    <w:rsid w:val="006F54F3"/>
    <w:rsid w:val="006F5690"/>
    <w:rsid w:val="00705B38"/>
    <w:rsid w:val="0070686A"/>
    <w:rsid w:val="0071551E"/>
    <w:rsid w:val="007157B0"/>
    <w:rsid w:val="007169BB"/>
    <w:rsid w:val="00720B77"/>
    <w:rsid w:val="007216FC"/>
    <w:rsid w:val="0072425E"/>
    <w:rsid w:val="007318C6"/>
    <w:rsid w:val="00736A0B"/>
    <w:rsid w:val="00736CD1"/>
    <w:rsid w:val="0074589D"/>
    <w:rsid w:val="007469BE"/>
    <w:rsid w:val="007675F4"/>
    <w:rsid w:val="007704FF"/>
    <w:rsid w:val="00772A49"/>
    <w:rsid w:val="00775EFD"/>
    <w:rsid w:val="00782BDF"/>
    <w:rsid w:val="007A5DD7"/>
    <w:rsid w:val="007A72FD"/>
    <w:rsid w:val="007A73E0"/>
    <w:rsid w:val="007B02C5"/>
    <w:rsid w:val="007B1578"/>
    <w:rsid w:val="007B3B44"/>
    <w:rsid w:val="007D0A2F"/>
    <w:rsid w:val="007D4967"/>
    <w:rsid w:val="007F1441"/>
    <w:rsid w:val="007F6799"/>
    <w:rsid w:val="007F7A27"/>
    <w:rsid w:val="007F7F99"/>
    <w:rsid w:val="008136EC"/>
    <w:rsid w:val="0081601B"/>
    <w:rsid w:val="00844269"/>
    <w:rsid w:val="00883C87"/>
    <w:rsid w:val="008B5E5F"/>
    <w:rsid w:val="008D48BB"/>
    <w:rsid w:val="008D79BD"/>
    <w:rsid w:val="00912AEB"/>
    <w:rsid w:val="00920FB6"/>
    <w:rsid w:val="00924F4E"/>
    <w:rsid w:val="009269E0"/>
    <w:rsid w:val="00966A46"/>
    <w:rsid w:val="00970AA9"/>
    <w:rsid w:val="00992393"/>
    <w:rsid w:val="00995A82"/>
    <w:rsid w:val="009A12DC"/>
    <w:rsid w:val="009C2FA0"/>
    <w:rsid w:val="009E1109"/>
    <w:rsid w:val="009E222C"/>
    <w:rsid w:val="009E3531"/>
    <w:rsid w:val="00A07CEB"/>
    <w:rsid w:val="00A20527"/>
    <w:rsid w:val="00A34C3D"/>
    <w:rsid w:val="00A37667"/>
    <w:rsid w:val="00A43360"/>
    <w:rsid w:val="00A55C98"/>
    <w:rsid w:val="00A563DD"/>
    <w:rsid w:val="00A60162"/>
    <w:rsid w:val="00A607C2"/>
    <w:rsid w:val="00A91E06"/>
    <w:rsid w:val="00AB2846"/>
    <w:rsid w:val="00AD3235"/>
    <w:rsid w:val="00AE7133"/>
    <w:rsid w:val="00AF2D24"/>
    <w:rsid w:val="00AF55DF"/>
    <w:rsid w:val="00AF6391"/>
    <w:rsid w:val="00B002C2"/>
    <w:rsid w:val="00B028ED"/>
    <w:rsid w:val="00B04259"/>
    <w:rsid w:val="00B110D3"/>
    <w:rsid w:val="00B1280D"/>
    <w:rsid w:val="00B256BE"/>
    <w:rsid w:val="00B30462"/>
    <w:rsid w:val="00B30FDC"/>
    <w:rsid w:val="00B36FA2"/>
    <w:rsid w:val="00B42B94"/>
    <w:rsid w:val="00B51CF4"/>
    <w:rsid w:val="00B53153"/>
    <w:rsid w:val="00B8128D"/>
    <w:rsid w:val="00B83F95"/>
    <w:rsid w:val="00B841C4"/>
    <w:rsid w:val="00B866E9"/>
    <w:rsid w:val="00B91FD3"/>
    <w:rsid w:val="00BD2D2A"/>
    <w:rsid w:val="00BF6A29"/>
    <w:rsid w:val="00BF7A55"/>
    <w:rsid w:val="00C0277A"/>
    <w:rsid w:val="00C07EC7"/>
    <w:rsid w:val="00C340CA"/>
    <w:rsid w:val="00C36C6B"/>
    <w:rsid w:val="00C477C3"/>
    <w:rsid w:val="00C5087F"/>
    <w:rsid w:val="00C52F7F"/>
    <w:rsid w:val="00C600F5"/>
    <w:rsid w:val="00C70063"/>
    <w:rsid w:val="00C7724E"/>
    <w:rsid w:val="00C839CF"/>
    <w:rsid w:val="00C8701B"/>
    <w:rsid w:val="00CD0355"/>
    <w:rsid w:val="00CD4336"/>
    <w:rsid w:val="00CE178B"/>
    <w:rsid w:val="00D00A0E"/>
    <w:rsid w:val="00D02618"/>
    <w:rsid w:val="00D11C3C"/>
    <w:rsid w:val="00D12C0F"/>
    <w:rsid w:val="00D21280"/>
    <w:rsid w:val="00D322F5"/>
    <w:rsid w:val="00D357D8"/>
    <w:rsid w:val="00D36FDA"/>
    <w:rsid w:val="00D661E0"/>
    <w:rsid w:val="00D71EA5"/>
    <w:rsid w:val="00D73939"/>
    <w:rsid w:val="00D838AC"/>
    <w:rsid w:val="00D85D44"/>
    <w:rsid w:val="00D92D91"/>
    <w:rsid w:val="00DA4293"/>
    <w:rsid w:val="00DA4FED"/>
    <w:rsid w:val="00DB14AB"/>
    <w:rsid w:val="00DD2EC5"/>
    <w:rsid w:val="00DE13AC"/>
    <w:rsid w:val="00DE312F"/>
    <w:rsid w:val="00DF07D4"/>
    <w:rsid w:val="00DF354C"/>
    <w:rsid w:val="00E037CF"/>
    <w:rsid w:val="00E17070"/>
    <w:rsid w:val="00E1732C"/>
    <w:rsid w:val="00E17F1E"/>
    <w:rsid w:val="00E40B89"/>
    <w:rsid w:val="00E41123"/>
    <w:rsid w:val="00E41125"/>
    <w:rsid w:val="00E414C1"/>
    <w:rsid w:val="00E667BE"/>
    <w:rsid w:val="00E81BDA"/>
    <w:rsid w:val="00E9194A"/>
    <w:rsid w:val="00E93111"/>
    <w:rsid w:val="00E9414D"/>
    <w:rsid w:val="00EB0651"/>
    <w:rsid w:val="00EB41DD"/>
    <w:rsid w:val="00EC089A"/>
    <w:rsid w:val="00EE4DA8"/>
    <w:rsid w:val="00EF1F5E"/>
    <w:rsid w:val="00EF7E66"/>
    <w:rsid w:val="00F33FB4"/>
    <w:rsid w:val="00F65368"/>
    <w:rsid w:val="00F65A06"/>
    <w:rsid w:val="00F8340B"/>
    <w:rsid w:val="00F93100"/>
    <w:rsid w:val="00FA4555"/>
    <w:rsid w:val="00FB641D"/>
    <w:rsid w:val="019B01E5"/>
    <w:rsid w:val="046E4963"/>
    <w:rsid w:val="04BA07BF"/>
    <w:rsid w:val="067C0A4D"/>
    <w:rsid w:val="07B66C83"/>
    <w:rsid w:val="08C54B31"/>
    <w:rsid w:val="08FA4FAA"/>
    <w:rsid w:val="0A06778F"/>
    <w:rsid w:val="0A5553BA"/>
    <w:rsid w:val="0CD83B46"/>
    <w:rsid w:val="0D1438F5"/>
    <w:rsid w:val="0F7A5FAB"/>
    <w:rsid w:val="0F852A93"/>
    <w:rsid w:val="103B157C"/>
    <w:rsid w:val="1159557D"/>
    <w:rsid w:val="11C91AF8"/>
    <w:rsid w:val="121B1B5E"/>
    <w:rsid w:val="124D4E4C"/>
    <w:rsid w:val="12B01033"/>
    <w:rsid w:val="13AD1CAA"/>
    <w:rsid w:val="15C85046"/>
    <w:rsid w:val="16FC4CA5"/>
    <w:rsid w:val="171E61F3"/>
    <w:rsid w:val="17C4070C"/>
    <w:rsid w:val="191176FF"/>
    <w:rsid w:val="192F0B77"/>
    <w:rsid w:val="19771523"/>
    <w:rsid w:val="19F95D36"/>
    <w:rsid w:val="1A8F5246"/>
    <w:rsid w:val="1B9E427D"/>
    <w:rsid w:val="1C76642D"/>
    <w:rsid w:val="1F4C3819"/>
    <w:rsid w:val="228F708F"/>
    <w:rsid w:val="238E637E"/>
    <w:rsid w:val="24322DC8"/>
    <w:rsid w:val="26C61FE3"/>
    <w:rsid w:val="281441D1"/>
    <w:rsid w:val="281524AF"/>
    <w:rsid w:val="2891323C"/>
    <w:rsid w:val="2A996F7E"/>
    <w:rsid w:val="2B577A75"/>
    <w:rsid w:val="2BBC3ADA"/>
    <w:rsid w:val="2BED2EC9"/>
    <w:rsid w:val="2CD01E0C"/>
    <w:rsid w:val="2E817F0D"/>
    <w:rsid w:val="2EB7414F"/>
    <w:rsid w:val="30495106"/>
    <w:rsid w:val="30536D05"/>
    <w:rsid w:val="30C8748B"/>
    <w:rsid w:val="3128357E"/>
    <w:rsid w:val="317F0200"/>
    <w:rsid w:val="343D2E31"/>
    <w:rsid w:val="34720FFB"/>
    <w:rsid w:val="3491148E"/>
    <w:rsid w:val="35C2012F"/>
    <w:rsid w:val="373B04F2"/>
    <w:rsid w:val="388A684B"/>
    <w:rsid w:val="3A037EA1"/>
    <w:rsid w:val="3B5B2BA1"/>
    <w:rsid w:val="3B865CED"/>
    <w:rsid w:val="3CB03666"/>
    <w:rsid w:val="3F4B3E89"/>
    <w:rsid w:val="3F980213"/>
    <w:rsid w:val="40DC68A2"/>
    <w:rsid w:val="442D0F4B"/>
    <w:rsid w:val="451246AD"/>
    <w:rsid w:val="45531203"/>
    <w:rsid w:val="45544151"/>
    <w:rsid w:val="479F5862"/>
    <w:rsid w:val="47D907C8"/>
    <w:rsid w:val="48BF2AB0"/>
    <w:rsid w:val="48DB7735"/>
    <w:rsid w:val="48E05154"/>
    <w:rsid w:val="4A023FEE"/>
    <w:rsid w:val="4A080708"/>
    <w:rsid w:val="4A8C32B9"/>
    <w:rsid w:val="4ADC53AC"/>
    <w:rsid w:val="4B120501"/>
    <w:rsid w:val="4B4B016A"/>
    <w:rsid w:val="4B6C5EA8"/>
    <w:rsid w:val="4CDC7975"/>
    <w:rsid w:val="4CEB68DD"/>
    <w:rsid w:val="4E16014C"/>
    <w:rsid w:val="4E710F72"/>
    <w:rsid w:val="4F691B95"/>
    <w:rsid w:val="4FBD5F88"/>
    <w:rsid w:val="505970AE"/>
    <w:rsid w:val="50AC5E99"/>
    <w:rsid w:val="50F26D7A"/>
    <w:rsid w:val="51976025"/>
    <w:rsid w:val="52B46B92"/>
    <w:rsid w:val="53E421E6"/>
    <w:rsid w:val="54024AD3"/>
    <w:rsid w:val="54EA382C"/>
    <w:rsid w:val="557B3964"/>
    <w:rsid w:val="562B0252"/>
    <w:rsid w:val="57FF0DE9"/>
    <w:rsid w:val="580E0D9F"/>
    <w:rsid w:val="58375A85"/>
    <w:rsid w:val="586E2261"/>
    <w:rsid w:val="59472D92"/>
    <w:rsid w:val="59A00156"/>
    <w:rsid w:val="5A5740AB"/>
    <w:rsid w:val="5AD00DCE"/>
    <w:rsid w:val="5ADE1C93"/>
    <w:rsid w:val="5C0B6FDC"/>
    <w:rsid w:val="5E0747C6"/>
    <w:rsid w:val="5E5A4E85"/>
    <w:rsid w:val="5EB0452F"/>
    <w:rsid w:val="5F4F7597"/>
    <w:rsid w:val="5F720314"/>
    <w:rsid w:val="5FFB7F0D"/>
    <w:rsid w:val="600C446F"/>
    <w:rsid w:val="603B4E9A"/>
    <w:rsid w:val="61344094"/>
    <w:rsid w:val="615B7C40"/>
    <w:rsid w:val="6179391C"/>
    <w:rsid w:val="62E55633"/>
    <w:rsid w:val="62F551B7"/>
    <w:rsid w:val="62FA7330"/>
    <w:rsid w:val="644141AB"/>
    <w:rsid w:val="66E768DD"/>
    <w:rsid w:val="670E56BA"/>
    <w:rsid w:val="67B23C47"/>
    <w:rsid w:val="67C85A0B"/>
    <w:rsid w:val="68AC7AC0"/>
    <w:rsid w:val="69CE1201"/>
    <w:rsid w:val="6A450463"/>
    <w:rsid w:val="6ADD5AFB"/>
    <w:rsid w:val="6B657E21"/>
    <w:rsid w:val="6C682923"/>
    <w:rsid w:val="6E082CEA"/>
    <w:rsid w:val="6FC654CB"/>
    <w:rsid w:val="70871006"/>
    <w:rsid w:val="70C27746"/>
    <w:rsid w:val="70DD35E9"/>
    <w:rsid w:val="72062ED0"/>
    <w:rsid w:val="727E2D15"/>
    <w:rsid w:val="730109FE"/>
    <w:rsid w:val="733E76D7"/>
    <w:rsid w:val="73CD455A"/>
    <w:rsid w:val="74BA0414"/>
    <w:rsid w:val="79E67120"/>
    <w:rsid w:val="7B4248F1"/>
    <w:rsid w:val="7C8E30E9"/>
    <w:rsid w:val="7E883C1A"/>
    <w:rsid w:val="7F1F2CF5"/>
    <w:rsid w:val="7F4A08A0"/>
    <w:rsid w:val="7FC13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rFonts w:eastAsia="Times New Roman"/>
      <w:kern w:val="0"/>
      <w:sz w:val="24"/>
      <w:szCs w:val="24"/>
    </w:rPr>
  </w:style>
  <w:style w:type="paragraph" w:styleId="3">
    <w:name w:val="Balloon Text"/>
    <w:basedOn w:val="1"/>
    <w:link w:val="16"/>
    <w:semiHidden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4C4C4C"/>
      <w:u w:val="none"/>
    </w:rPr>
  </w:style>
  <w:style w:type="character" w:styleId="13">
    <w:name w:val="Hyperlink"/>
    <w:basedOn w:val="9"/>
    <w:qFormat/>
    <w:uiPriority w:val="0"/>
    <w:rPr>
      <w:color w:val="4C4C4C"/>
      <w:u w:val="none"/>
    </w:rPr>
  </w:style>
  <w:style w:type="character" w:styleId="14">
    <w:name w:val="annotation reference"/>
    <w:basedOn w:val="9"/>
    <w:qFormat/>
    <w:uiPriority w:val="0"/>
    <w:rPr>
      <w:rFonts w:cs="Times New Roman"/>
      <w:sz w:val="21"/>
      <w:szCs w:val="21"/>
    </w:rPr>
  </w:style>
  <w:style w:type="character" w:customStyle="1" w:styleId="15">
    <w:name w:val=" Char Char"/>
    <w:basedOn w:val="9"/>
    <w:link w:val="2"/>
    <w:qFormat/>
    <w:locked/>
    <w:uiPriority w:val="0"/>
    <w:rPr>
      <w:sz w:val="24"/>
      <w:szCs w:val="24"/>
      <w:lang w:bidi="ar-SA"/>
    </w:rPr>
  </w:style>
  <w:style w:type="character" w:customStyle="1" w:styleId="16">
    <w:name w:val=" Char Char1"/>
    <w:basedOn w:val="9"/>
    <w:link w:val="3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7">
    <w:name w:val=" Char Char3"/>
    <w:basedOn w:val="9"/>
    <w:link w:val="4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8">
    <w:name w:val=" Char Char2"/>
    <w:basedOn w:val="9"/>
    <w:link w:val="5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微软中国</Company>
  <Pages>7</Pages>
  <Words>2697</Words>
  <Characters>2789</Characters>
  <Lines>26</Lines>
  <Paragraphs>7</Paragraphs>
  <TotalTime>1</TotalTime>
  <ScaleCrop>false</ScaleCrop>
  <LinksUpToDate>false</LinksUpToDate>
  <CharactersWithSpaces>2807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2020-06-01T01:49:00Z</dcterms:created>
  <dc:creator>Tian</dc:creator>
  <cp:lastModifiedBy>leilei</cp:lastModifiedBy>
  <cp:lastPrinted>2022-10-17T08:10:00Z</cp:lastPrinted>
  <dcterms:modified xsi:type="dcterms:W3CDTF">2022-10-25T08:30:24Z</dcterms:modified>
  <dc:title>浙江省保安协会关于组织开展2014年度优秀（先进）保安服务公司和优秀保安员评选表彰活动的通知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7FC90AFA2D5543A7A04205488FA9349D</vt:lpwstr>
  </property>
</Properties>
</file>